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B1D21" w14:textId="77777777" w:rsidR="00E47AD3" w:rsidRDefault="00E47AD3" w:rsidP="00E47AD3">
      <w:pPr>
        <w:rPr>
          <w:b/>
          <w:bCs/>
        </w:rPr>
      </w:pPr>
    </w:p>
    <w:p w14:paraId="54C8C0BF" w14:textId="77777777" w:rsidR="00E47AD3" w:rsidRDefault="00E47AD3" w:rsidP="00E47AD3">
      <w:pPr>
        <w:rPr>
          <w:b/>
          <w:bCs/>
        </w:rPr>
      </w:pPr>
    </w:p>
    <w:p w14:paraId="183E4835" w14:textId="77777777" w:rsidR="00E47AD3" w:rsidRDefault="00E47AD3" w:rsidP="00E47AD3">
      <w:pPr>
        <w:rPr>
          <w:b/>
          <w:bCs/>
        </w:rPr>
      </w:pPr>
    </w:p>
    <w:p w14:paraId="63456E30" w14:textId="77777777" w:rsidR="009A3821" w:rsidRDefault="000E1505" w:rsidP="009A3821">
      <w:pPr>
        <w:rPr>
          <w:rFonts w:ascii="Roboto" w:hAnsi="Roboto"/>
          <w:b/>
          <w:bCs/>
          <w:color w:val="7096A4"/>
          <w:sz w:val="32"/>
          <w:szCs w:val="32"/>
        </w:rPr>
      </w:pPr>
      <w:r>
        <w:rPr>
          <w:rFonts w:ascii="Roboto" w:hAnsi="Roboto"/>
          <w:b/>
          <w:bCs/>
          <w:color w:val="7096A4"/>
          <w:sz w:val="32"/>
          <w:szCs w:val="32"/>
        </w:rPr>
        <w:br/>
      </w:r>
      <w:r w:rsidR="009A3821" w:rsidRPr="009A3821">
        <w:rPr>
          <w:rFonts w:ascii="Roboto" w:hAnsi="Roboto"/>
          <w:b/>
          <w:bCs/>
          <w:color w:val="7096A4"/>
          <w:sz w:val="32"/>
          <w:szCs w:val="32"/>
        </w:rPr>
        <w:t>Banky a stavební spořitelny spouštějí bezúročné úvěry na energetické renovace domů</w:t>
      </w:r>
    </w:p>
    <w:p w14:paraId="7836B1FC" w14:textId="207DDDDA" w:rsidR="009A3821" w:rsidRDefault="00773E53" w:rsidP="009A3821">
      <w:pPr>
        <w:rPr>
          <w:b/>
          <w:bCs/>
        </w:rPr>
      </w:pPr>
      <w:r>
        <w:rPr>
          <w:rFonts w:ascii="Roboto" w:hAnsi="Roboto" w:cs="Arial"/>
        </w:rPr>
        <w:br/>
      </w:r>
      <w:r w:rsidR="00D15D3B" w:rsidRPr="002E4B5A">
        <w:rPr>
          <w:rFonts w:asciiTheme="minorHAnsi" w:hAnsiTheme="minorHAnsi" w:cs="Arial"/>
        </w:rPr>
        <w:t xml:space="preserve">Praha, </w:t>
      </w:r>
      <w:r w:rsidR="002E4B5A" w:rsidRPr="002E4B5A">
        <w:rPr>
          <w:rFonts w:asciiTheme="minorHAnsi" w:hAnsiTheme="minorHAnsi" w:cs="Arial"/>
        </w:rPr>
        <w:t>29. 5. 2026</w:t>
      </w:r>
      <w:r w:rsidR="004943AC" w:rsidRPr="002E4B5A">
        <w:rPr>
          <w:rFonts w:asciiTheme="minorHAnsi" w:hAnsiTheme="minorHAnsi" w:cs="Arial"/>
        </w:rPr>
        <w:t xml:space="preserve"> -</w:t>
      </w:r>
      <w:r w:rsidR="00D15D3B" w:rsidRPr="00773E53">
        <w:rPr>
          <w:rFonts w:ascii="Roboto" w:hAnsi="Roboto" w:cs="Arial"/>
          <w:b/>
          <w:bCs/>
        </w:rPr>
        <w:t xml:space="preserve"> </w:t>
      </w:r>
      <w:r w:rsidR="009A3821" w:rsidRPr="001E08E3">
        <w:rPr>
          <w:b/>
          <w:bCs/>
        </w:rPr>
        <w:t>Česká bankovní asociace a Asociace českých stavebních spořitelen představují nový program bezúročných úvěrů na energetické renovace rodinných a bytových domů. Díky konstruktivní dohodě se státem vzniká nástroj, který domácnostem, společenstvím vlastníků jednotek a bytovým družstvům usnadní financování rekonstrukcí</w:t>
      </w:r>
      <w:r w:rsidR="009A3821">
        <w:rPr>
          <w:b/>
          <w:bCs/>
        </w:rPr>
        <w:t xml:space="preserve">. Ty povedou k </w:t>
      </w:r>
      <w:r w:rsidR="009A3821" w:rsidRPr="001E08E3">
        <w:rPr>
          <w:b/>
          <w:bCs/>
        </w:rPr>
        <w:t>nižší energetické náročnosti</w:t>
      </w:r>
      <w:r w:rsidR="009A3821">
        <w:rPr>
          <w:b/>
          <w:bCs/>
        </w:rPr>
        <w:t xml:space="preserve"> a </w:t>
      </w:r>
      <w:r w:rsidR="009A3821" w:rsidRPr="001E08E3">
        <w:rPr>
          <w:b/>
          <w:bCs/>
        </w:rPr>
        <w:t>nižším výdajům za energie. Program navazuje na cíle Nové zelené úsporám 2026+ a propojuje veřejnou podporu s kapacitou bank a stavebních spořitelen financovat modernizaci českého bytového fondu.</w:t>
      </w:r>
      <w:r w:rsidR="009A3821">
        <w:rPr>
          <w:b/>
          <w:bCs/>
        </w:rPr>
        <w:t xml:space="preserve"> </w:t>
      </w:r>
    </w:p>
    <w:p w14:paraId="51DEDF12" w14:textId="77777777" w:rsidR="00471C58" w:rsidRDefault="00471C58" w:rsidP="009A3821">
      <w:pPr>
        <w:rPr>
          <w:rFonts w:ascii="Roboto" w:hAnsi="Roboto" w:cs="Arial"/>
          <w:b/>
          <w:bCs/>
        </w:rPr>
      </w:pPr>
    </w:p>
    <w:p w14:paraId="628D5895" w14:textId="77777777" w:rsidR="00D15E9B" w:rsidRPr="009F098C" w:rsidRDefault="00D15E9B" w:rsidP="00D15E9B">
      <w:pPr>
        <w:rPr>
          <w:b/>
          <w:bCs/>
        </w:rPr>
      </w:pPr>
      <w:r w:rsidRPr="009F098C">
        <w:rPr>
          <w:b/>
          <w:bCs/>
        </w:rPr>
        <w:t>Úvěr s nulovým úrokem a bez poplatků</w:t>
      </w:r>
    </w:p>
    <w:p w14:paraId="638C2D75" w14:textId="7B6D9EB5" w:rsidR="00D15E9B" w:rsidRPr="001E08E3" w:rsidRDefault="00D15E9B" w:rsidP="00D15E9B">
      <w:r w:rsidRPr="001E08E3">
        <w:t xml:space="preserve">Nový model financování umožní </w:t>
      </w:r>
      <w:r>
        <w:t xml:space="preserve">občanům </w:t>
      </w:r>
      <w:r w:rsidRPr="001E08E3">
        <w:t xml:space="preserve">získat úvěr s nulovým úrokem a bez poplatků. Rozdíl mezi tržní úrokovou sazbou a nulovou sazbou bude </w:t>
      </w:r>
      <w:r>
        <w:t xml:space="preserve">klientům kompenzovat </w:t>
      </w:r>
      <w:r w:rsidRPr="001E08E3">
        <w:t xml:space="preserve">stát. Program </w:t>
      </w:r>
      <w:r w:rsidR="00E9238B">
        <w:t>doplní</w:t>
      </w:r>
      <w:r w:rsidRPr="001E08E3">
        <w:t xml:space="preserve"> dotační podporu </w:t>
      </w:r>
      <w:r>
        <w:t xml:space="preserve">nízkopříjmových domácností </w:t>
      </w:r>
      <w:r w:rsidRPr="001E08E3">
        <w:t>o dostupné financování a odstran</w:t>
      </w:r>
      <w:r w:rsidR="00E9238B">
        <w:t>í</w:t>
      </w:r>
      <w:r w:rsidRPr="001E08E3">
        <w:t xml:space="preserve"> jednu z hlavních bariér, která domácnostem často brání v realizaci energetických renovací – nedostatek vlastních prostředků na předfinancování nebo dofinancování projektu</w:t>
      </w:r>
      <w:r>
        <w:t>.</w:t>
      </w:r>
    </w:p>
    <w:p w14:paraId="13B8DFD6" w14:textId="77777777" w:rsidR="00D15E9B" w:rsidRPr="001E08E3" w:rsidRDefault="00D15E9B" w:rsidP="00D15E9B">
      <w:pPr>
        <w:pBdr>
          <w:top w:val="single" w:sz="4" w:space="1" w:color="auto"/>
          <w:left w:val="single" w:sz="4" w:space="4" w:color="auto"/>
          <w:bottom w:val="single" w:sz="4" w:space="1" w:color="auto"/>
          <w:right w:val="single" w:sz="4" w:space="4" w:color="auto"/>
          <w:between w:val="single" w:sz="4" w:space="1" w:color="auto"/>
          <w:bar w:val="single" w:sz="4" w:color="auto"/>
        </w:pBdr>
      </w:pPr>
      <w:r w:rsidRPr="00EA73A6">
        <w:rPr>
          <w:i/>
          <w:iCs/>
        </w:rPr>
        <w:t xml:space="preserve">„Energetické renovace domů nejsou pouze ekologickým tématem. Jsou také ekonomickým a sociálním tématem. Pokud chceme, aby domácnosti skutečně investovaly do úspor energií, musí mít k dispozici jednoduché, dostupné a srozumitelné financování. Právě v tom </w:t>
      </w:r>
      <w:proofErr w:type="gramStart"/>
      <w:r w:rsidRPr="00EA73A6">
        <w:rPr>
          <w:i/>
          <w:iCs/>
        </w:rPr>
        <w:t>sehrá</w:t>
      </w:r>
      <w:r>
        <w:rPr>
          <w:i/>
          <w:iCs/>
        </w:rPr>
        <w:t xml:space="preserve">vají </w:t>
      </w:r>
      <w:r w:rsidRPr="00EA73A6">
        <w:rPr>
          <w:i/>
          <w:iCs/>
        </w:rPr>
        <w:t xml:space="preserve"> banky</w:t>
      </w:r>
      <w:proofErr w:type="gramEnd"/>
      <w:r w:rsidRPr="00EA73A6">
        <w:rPr>
          <w:i/>
          <w:iCs/>
        </w:rPr>
        <w:t xml:space="preserve"> a stavební spořitelny </w:t>
      </w:r>
      <w:r>
        <w:rPr>
          <w:i/>
          <w:iCs/>
        </w:rPr>
        <w:t xml:space="preserve">unikátní </w:t>
      </w:r>
      <w:r w:rsidRPr="00EA73A6">
        <w:rPr>
          <w:i/>
          <w:iCs/>
        </w:rPr>
        <w:t>roli,“</w:t>
      </w:r>
      <w:r w:rsidRPr="001E08E3">
        <w:t xml:space="preserve"> </w:t>
      </w:r>
      <w:r>
        <w:t>říká</w:t>
      </w:r>
      <w:r w:rsidRPr="001E08E3">
        <w:t xml:space="preserve"> </w:t>
      </w:r>
      <w:r w:rsidRPr="00EA73A6">
        <w:rPr>
          <w:b/>
          <w:bCs/>
        </w:rPr>
        <w:t>Jan Juchelka</w:t>
      </w:r>
      <w:r w:rsidRPr="001E08E3">
        <w:rPr>
          <w:b/>
          <w:bCs/>
        </w:rPr>
        <w:t>, prezident České bankovní asociace</w:t>
      </w:r>
      <w:r w:rsidRPr="001E08E3">
        <w:t>.</w:t>
      </w:r>
    </w:p>
    <w:p w14:paraId="6E209D63" w14:textId="72F76982" w:rsidR="00471C58" w:rsidRPr="00A46366" w:rsidRDefault="00471C58" w:rsidP="00471C58">
      <w:pPr>
        <w:rPr>
          <w:b/>
          <w:bCs/>
        </w:rPr>
      </w:pPr>
      <w:r w:rsidRPr="00A46366">
        <w:rPr>
          <w:b/>
          <w:bCs/>
        </w:rPr>
        <w:t>Soukromý kapitál znásobí investice</w:t>
      </w:r>
    </w:p>
    <w:p w14:paraId="7442D5B9" w14:textId="77777777" w:rsidR="00471C58" w:rsidRPr="00A46366" w:rsidRDefault="00471C58" w:rsidP="00471C58">
      <w:r w:rsidRPr="00A46366">
        <w:t>Nový model financování přichází jako systémová odpověď na limity veřejných rozpočtů</w:t>
      </w:r>
      <w:r>
        <w:t>, které neumožňují poskytovat přímé dotace v takovém rozsahu, jako v minulých letech</w:t>
      </w:r>
      <w:r w:rsidRPr="00A46366">
        <w:t xml:space="preserve">. Přechod na úvěrový model financování, kde stát namísto </w:t>
      </w:r>
      <w:r>
        <w:t xml:space="preserve">přímých dotací </w:t>
      </w:r>
      <w:r w:rsidRPr="00A46366">
        <w:t xml:space="preserve">kompenzuje rozdíl mezi tržní a nulovou úrokovou sazbou, přináší zásadní multiplikační efekt. Zapojení </w:t>
      </w:r>
      <w:r>
        <w:t xml:space="preserve">finanční </w:t>
      </w:r>
      <w:r w:rsidRPr="00A46366">
        <w:t xml:space="preserve">kapacit bank a stavebních spořitelen umožňuje </w:t>
      </w:r>
      <w:r>
        <w:t>investovat</w:t>
      </w:r>
      <w:r w:rsidRPr="00A46366">
        <w:t xml:space="preserve"> do modernizace českého bytového fondu výrazně větší objem prostředků. Veřejné finance jsou tak využity maximálně efektivně a vytvoří stabilní, předvídatelné prostředí pro dlouhodobé investice </w:t>
      </w:r>
      <w:r>
        <w:t>s nižšími nároky na výdaje státu</w:t>
      </w:r>
      <w:r w:rsidRPr="00A46366">
        <w:t>.</w:t>
      </w:r>
    </w:p>
    <w:p w14:paraId="23FF8768" w14:textId="77777777" w:rsidR="00471C58" w:rsidRDefault="00471C58" w:rsidP="00471C58"/>
    <w:p w14:paraId="1CFA5D2D" w14:textId="77777777" w:rsidR="00471C58" w:rsidRDefault="00471C58" w:rsidP="00471C58">
      <w:r w:rsidRPr="001E08E3">
        <w:t xml:space="preserve">Program počítá s podporou dílčích i komplexních renovací. U rodinných domů bude možné financovat dílčí renovace úvěrem až do výše 500 tisíc korun se splatností až 10 let. U komplexních renovací bude možné čerpat úvěr až do výše 2 milionů korun, přičemž splatnost se bude podle situace žadatele pohybovat </w:t>
      </w:r>
      <w:r>
        <w:t>od 15 a</w:t>
      </w:r>
      <w:r w:rsidRPr="001E08E3">
        <w:t xml:space="preserve">ž do 25 let. U bytových domů bude program umožňovat financování dílčích renovací do 1,5 milionu korun a u komplexních renovací </w:t>
      </w:r>
      <w:r>
        <w:t xml:space="preserve">bez limitu </w:t>
      </w:r>
      <w:r w:rsidRPr="001E08E3">
        <w:t>částky</w:t>
      </w:r>
      <w:r>
        <w:t>,</w:t>
      </w:r>
      <w:r w:rsidRPr="001E08E3">
        <w:t xml:space="preserve"> podle rozsahu realizovaných opatření.</w:t>
      </w:r>
    </w:p>
    <w:p w14:paraId="6ED46964" w14:textId="77777777" w:rsidR="00471C58" w:rsidRDefault="00471C58" w:rsidP="00471C58"/>
    <w:p w14:paraId="482799C7" w14:textId="77777777" w:rsidR="00471C58" w:rsidRDefault="00471C58" w:rsidP="00471C58"/>
    <w:p w14:paraId="5968A40C" w14:textId="77777777" w:rsidR="00471C58" w:rsidRPr="001E08E3" w:rsidRDefault="00471C58" w:rsidP="00471C58"/>
    <w:p w14:paraId="4BD54A42" w14:textId="67FFCBE3" w:rsidR="00471C58" w:rsidRPr="001E08E3" w:rsidRDefault="00471C58" w:rsidP="00471C58">
      <w:pPr>
        <w:pBdr>
          <w:top w:val="single" w:sz="4" w:space="1" w:color="auto"/>
          <w:left w:val="single" w:sz="4" w:space="4" w:color="auto"/>
          <w:bottom w:val="single" w:sz="4" w:space="1" w:color="auto"/>
          <w:right w:val="single" w:sz="4" w:space="4" w:color="auto"/>
          <w:between w:val="single" w:sz="4" w:space="1" w:color="auto"/>
          <w:bar w:val="single" w:sz="4" w:color="auto"/>
        </w:pBdr>
      </w:pPr>
      <w:r w:rsidRPr="00137DC5">
        <w:rPr>
          <w:i/>
          <w:iCs/>
        </w:rPr>
        <w:t>„</w:t>
      </w:r>
      <w:r>
        <w:rPr>
          <w:i/>
          <w:iCs/>
        </w:rPr>
        <w:t xml:space="preserve">Banky </w:t>
      </w:r>
      <w:r w:rsidR="00233837">
        <w:rPr>
          <w:i/>
          <w:iCs/>
        </w:rPr>
        <w:t>i</w:t>
      </w:r>
      <w:r>
        <w:rPr>
          <w:i/>
          <w:iCs/>
        </w:rPr>
        <w:t xml:space="preserve"> s</w:t>
      </w:r>
      <w:r w:rsidRPr="00137DC5">
        <w:rPr>
          <w:i/>
          <w:iCs/>
        </w:rPr>
        <w:t>tavební spořitelny mají s financováním bydlení, rekonstrukcí a energetických úspor dlouhodobou zkušenost. Nový program může pomoci rozhýbat renovace tam, kde lidé vědí, co potřebují opravit, ale odkládají rozhodnutí kvůli nákladům. Bezúročný úvěr je pro ně srozumitelný nástroj, který může investici do úspor významně zpřístupnit,“</w:t>
      </w:r>
      <w:r w:rsidRPr="001E08E3">
        <w:t xml:space="preserve"> doplnil </w:t>
      </w:r>
      <w:r>
        <w:rPr>
          <w:b/>
          <w:bCs/>
        </w:rPr>
        <w:t>Pavel Čejka</w:t>
      </w:r>
      <w:r w:rsidRPr="001E08E3">
        <w:rPr>
          <w:b/>
          <w:bCs/>
        </w:rPr>
        <w:t>, výkonný ředitel Asociace českých stavebních spořitelen</w:t>
      </w:r>
      <w:r w:rsidRPr="001E08E3">
        <w:t>.</w:t>
      </w:r>
    </w:p>
    <w:p w14:paraId="6F4145ED" w14:textId="77777777" w:rsidR="00471C58" w:rsidRDefault="00471C58" w:rsidP="00471C58">
      <w:pPr>
        <w:rPr>
          <w:b/>
          <w:bCs/>
        </w:rPr>
      </w:pPr>
    </w:p>
    <w:p w14:paraId="508EA7AF" w14:textId="1E6A4E0F" w:rsidR="00471C58" w:rsidRDefault="00471C58" w:rsidP="00471C58">
      <w:pPr>
        <w:rPr>
          <w:b/>
          <w:bCs/>
        </w:rPr>
      </w:pPr>
      <w:r>
        <w:rPr>
          <w:b/>
          <w:bCs/>
        </w:rPr>
        <w:t>Ekonomický stimul, růst investic a udržitelný model financování</w:t>
      </w:r>
    </w:p>
    <w:p w14:paraId="0BC3B906" w14:textId="7CA75434" w:rsidR="00471C58" w:rsidRPr="006200F8" w:rsidRDefault="00471C58" w:rsidP="00471C58">
      <w:r w:rsidRPr="006200F8">
        <w:t>Podle předběžných odhadů má nový program potenciál v následujících letech mobilizovat investice do energetických renovací v celkovém řádu až sto</w:t>
      </w:r>
      <w:r>
        <w:t xml:space="preserve"> </w:t>
      </w:r>
      <w:r w:rsidRPr="006200F8">
        <w:t>miliard korun. Očekává</w:t>
      </w:r>
      <w:r>
        <w:t>me</w:t>
      </w:r>
      <w:r w:rsidRPr="006200F8">
        <w:t xml:space="preserve"> plynulé a stabilní zapojení </w:t>
      </w:r>
      <w:r>
        <w:t>až tisíce</w:t>
      </w:r>
      <w:r w:rsidRPr="006200F8">
        <w:t xml:space="preserve"> vlastníků rodinných domů měsíčně a setrvalý zájem desítek až stovek bytových družstev či společenství vlastníků jednotek.</w:t>
      </w:r>
    </w:p>
    <w:p w14:paraId="6E9DC37D" w14:textId="77777777" w:rsidR="00471C58" w:rsidRPr="001E08E3" w:rsidRDefault="00471C58" w:rsidP="00471C58">
      <w:r w:rsidRPr="001E08E3">
        <w:t>Cílem programu je nejen snížení energetické náročnosti obytných budov, ale také podpora dostupnějšího a kvalitnějšího bydlení. Renovace mohou domácnostem pomoci snížit pravidelné výdaje za energie, zvýšit hodnotu nemovitosti a současně přispět k modernizaci bytového fondu v České republice. Program má zároveň pozitivní dopad na ekonomiku, protože podporuje investice do stavebnictví, technologií a souvisejících služeb.</w:t>
      </w:r>
    </w:p>
    <w:p w14:paraId="79AA3525" w14:textId="46246CB7" w:rsidR="00471C58" w:rsidRDefault="00471C58" w:rsidP="00471C58">
      <w:r w:rsidRPr="001E08E3">
        <w:t>Bezúročné úvěry budou určeny jak pro vlastníky rodinných domů, tak pro společenství vlastníků jednotek a bytová družstva. Konkrétní podmínky poskytnutí úvěru se budou odvíjet od typu nemovitosti, rozsahu plánované renovace, výše úvěru a splnění podmínek programu. Banky a stavební spořitelny budou klientům poskytovat informace o možnostech financování a o návaznosti úvěru na podporovaná energetická opatření.</w:t>
      </w:r>
    </w:p>
    <w:p w14:paraId="11C5B68B" w14:textId="3A5650F8" w:rsidR="00471C58" w:rsidRPr="00B37645" w:rsidRDefault="00471C58" w:rsidP="00471C58">
      <w:pPr>
        <w:rPr>
          <w:b/>
          <w:bCs/>
        </w:rPr>
      </w:pPr>
      <w:r w:rsidRPr="00B37645">
        <w:rPr>
          <w:b/>
          <w:bCs/>
        </w:rPr>
        <w:t>Další výhody pro občany</w:t>
      </w:r>
    </w:p>
    <w:p w14:paraId="68F8ADC3" w14:textId="77777777" w:rsidR="00471C58" w:rsidRPr="0040428C" w:rsidRDefault="00471C58" w:rsidP="00471C58">
      <w:r w:rsidRPr="00B37645">
        <w:t xml:space="preserve">Provázanost s úsporami: </w:t>
      </w:r>
      <w:r>
        <w:t>S</w:t>
      </w:r>
      <w:r w:rsidRPr="00B37645">
        <w:t xml:space="preserve">ystém </w:t>
      </w:r>
      <w:r>
        <w:t xml:space="preserve">financování </w:t>
      </w:r>
      <w:r w:rsidRPr="00B37645">
        <w:t>je provázán s profesionálním energetickým poradenstvím a tzv. Renovačními pasy budov. Každý projekt je dopředu technicky posouzen tak, aby měsíční úspory na fakturách za energie v maximální možné míře pokrývaly samotné splátky úvěru. Energetická renovace se tak v praxi financuje z peněz, které by domácnost jinak zaplatila za neefektivní provoz domu.</w:t>
      </w:r>
    </w:p>
    <w:p w14:paraId="0AE35C24" w14:textId="4F529184" w:rsidR="0003330B" w:rsidRDefault="00471C58" w:rsidP="00D87648">
      <w:r w:rsidRPr="00B37645">
        <w:t xml:space="preserve">Ochrana zranitelných skupin: Nový model </w:t>
      </w:r>
      <w:r>
        <w:t>myslí i na</w:t>
      </w:r>
      <w:r w:rsidRPr="00B37645">
        <w:t xml:space="preserve"> nízkopříjmové domácnosti. Ty jsou i nadále cíleně </w:t>
      </w:r>
      <w:r>
        <w:t>podporovány</w:t>
      </w:r>
      <w:r w:rsidRPr="00B37645">
        <w:t xml:space="preserve"> stoprocentní přímou dotační podporou v zavedeném režimu NZÚ Light</w:t>
      </w:r>
      <w:r>
        <w:t xml:space="preserve">, případně je pro ně určen bezúročný úvěr až na 25 let s velmi nízkými měsíčními splátkami. </w:t>
      </w:r>
    </w:p>
    <w:p w14:paraId="3B030574" w14:textId="77777777" w:rsidR="0003330B" w:rsidRPr="0003330B" w:rsidRDefault="0003330B" w:rsidP="00D87648"/>
    <w:tbl>
      <w:tblPr>
        <w:tblStyle w:val="Mkatabulky1"/>
        <w:tblW w:w="10201" w:type="dxa"/>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7"/>
        <w:gridCol w:w="3384"/>
      </w:tblGrid>
      <w:tr w:rsidR="00E47AD3" w:rsidRPr="007D00CC" w14:paraId="5E0658BB" w14:textId="77777777" w:rsidTr="00E47AD3">
        <w:trPr>
          <w:trHeight w:val="1560"/>
        </w:trPr>
        <w:tc>
          <w:tcPr>
            <w:tcW w:w="6817" w:type="dxa"/>
            <w:shd w:val="clear" w:color="auto" w:fill="13576B"/>
          </w:tcPr>
          <w:p w14:paraId="0EEB3DE9" w14:textId="77777777" w:rsidR="00E47AD3" w:rsidRPr="007F036A" w:rsidRDefault="00E47AD3" w:rsidP="001E07DC">
            <w:pPr>
              <w:overflowPunct w:val="0"/>
              <w:autoSpaceDE w:val="0"/>
              <w:autoSpaceDN w:val="0"/>
              <w:adjustRightInd w:val="0"/>
              <w:spacing w:before="120" w:after="120"/>
              <w:jc w:val="both"/>
              <w:textAlignment w:val="baseline"/>
              <w:rPr>
                <w:rFonts w:ascii="Arial" w:eastAsia="Times New Roman" w:hAnsi="Arial" w:cs="Arial"/>
                <w:b/>
                <w:bCs/>
                <w:color w:val="006666"/>
                <w:sz w:val="18"/>
                <w:szCs w:val="18"/>
                <w:lang w:eastAsia="cs-CZ"/>
              </w:rPr>
            </w:pPr>
            <w:r w:rsidRPr="007D00CC">
              <w:rPr>
                <w:rFonts w:ascii="Arial" w:eastAsia="Times New Roman" w:hAnsi="Arial" w:cs="Arial"/>
                <w:b/>
                <w:bCs/>
                <w:color w:val="FFFFFF"/>
                <w:sz w:val="18"/>
                <w:szCs w:val="18"/>
                <w:lang w:eastAsia="cs-CZ"/>
              </w:rPr>
              <w:t>O České bankovní asociaci</w:t>
            </w:r>
          </w:p>
          <w:p w14:paraId="71B2C924" w14:textId="25B3AC72" w:rsidR="00E47AD3" w:rsidRPr="007D00CC" w:rsidRDefault="00E47AD3" w:rsidP="001E07DC">
            <w:pPr>
              <w:overflowPunct w:val="0"/>
              <w:autoSpaceDE w:val="0"/>
              <w:autoSpaceDN w:val="0"/>
              <w:adjustRightInd w:val="0"/>
              <w:jc w:val="both"/>
              <w:textAlignment w:val="baseline"/>
              <w:rPr>
                <w:rFonts w:ascii="Arial" w:eastAsia="Times New Roman" w:hAnsi="Arial" w:cs="Arial"/>
                <w:color w:val="FFFFFF"/>
                <w:szCs w:val="20"/>
                <w:lang w:eastAsia="cs-CZ"/>
              </w:rPr>
            </w:pPr>
            <w:r w:rsidRPr="007D00CC">
              <w:rPr>
                <w:rFonts w:ascii="Arial" w:eastAsia="Times New Roman" w:hAnsi="Arial" w:cs="Arial"/>
                <w:color w:val="FFFFFF"/>
                <w:sz w:val="18"/>
                <w:szCs w:val="20"/>
                <w:lang w:eastAsia="cs-CZ"/>
              </w:rPr>
              <w:t>Česká bankovní asociace (ČBA) je dobrovolné sdružení 3</w:t>
            </w:r>
            <w:r w:rsidR="007458C0">
              <w:rPr>
                <w:rFonts w:ascii="Arial" w:eastAsia="Times New Roman" w:hAnsi="Arial" w:cs="Arial"/>
                <w:color w:val="FFFFFF"/>
                <w:sz w:val="18"/>
                <w:szCs w:val="20"/>
                <w:lang w:eastAsia="cs-CZ"/>
              </w:rPr>
              <w:t>4</w:t>
            </w:r>
            <w:r w:rsidRPr="007D00CC">
              <w:rPr>
                <w:rFonts w:ascii="Arial" w:eastAsia="Times New Roman" w:hAnsi="Arial" w:cs="Arial"/>
                <w:color w:val="FFFFFF"/>
                <w:sz w:val="18"/>
                <w:szCs w:val="20"/>
                <w:lang w:eastAsia="cs-CZ"/>
              </w:rPr>
              <w:t xml:space="preserve"> bank, které v ČR působí a reprezentuje tak 99 % trhu. </w:t>
            </w:r>
            <w:r>
              <w:rPr>
                <w:rFonts w:ascii="Arial" w:eastAsia="Times New Roman" w:hAnsi="Arial" w:cs="Arial"/>
                <w:color w:val="FFFFFF"/>
                <w:sz w:val="18"/>
                <w:szCs w:val="20"/>
                <w:lang w:eastAsia="cs-CZ"/>
              </w:rPr>
              <w:t>Víc než</w:t>
            </w:r>
            <w:r w:rsidRPr="007D00CC">
              <w:rPr>
                <w:rFonts w:ascii="Arial" w:eastAsia="Times New Roman" w:hAnsi="Arial" w:cs="Arial"/>
                <w:color w:val="FFFFFF"/>
                <w:sz w:val="18"/>
                <w:szCs w:val="20"/>
                <w:lang w:eastAsia="cs-CZ"/>
              </w:rPr>
              <w:t xml:space="preserve"> 30 let podporuje nejen rozvoj bankovního sektoru, ale i celé ekonomiky a všeobecné finanční gramotnosti. ČBA je členem Evropské bankovní federace (EBF).</w:t>
            </w:r>
          </w:p>
          <w:p w14:paraId="72DB5E70" w14:textId="77777777" w:rsidR="00E47AD3" w:rsidRPr="007D00CC" w:rsidRDefault="00E47AD3" w:rsidP="001E07DC">
            <w:pPr>
              <w:overflowPunct w:val="0"/>
              <w:autoSpaceDE w:val="0"/>
              <w:autoSpaceDN w:val="0"/>
              <w:adjustRightInd w:val="0"/>
              <w:spacing w:before="120" w:after="120"/>
              <w:jc w:val="both"/>
              <w:textAlignment w:val="baseline"/>
              <w:rPr>
                <w:rFonts w:ascii="Arial" w:eastAsia="Times New Roman" w:hAnsi="Arial" w:cs="Arial"/>
                <w:color w:val="FFFFFF"/>
                <w:sz w:val="18"/>
                <w:szCs w:val="18"/>
                <w:lang w:eastAsia="cs-CZ"/>
              </w:rPr>
            </w:pPr>
            <w:r w:rsidRPr="007D00CC">
              <w:rPr>
                <w:rFonts w:ascii="Arial" w:eastAsia="Times New Roman" w:hAnsi="Arial" w:cs="Arial"/>
                <w:color w:val="FFFFFF"/>
                <w:sz w:val="18"/>
                <w:szCs w:val="18"/>
                <w:lang w:eastAsia="cs-CZ"/>
              </w:rPr>
              <w:t xml:space="preserve">Více informací na </w:t>
            </w:r>
            <w:r w:rsidRPr="007D00CC">
              <w:rPr>
                <w:rFonts w:ascii="Arial" w:eastAsia="Times New Roman" w:hAnsi="Arial" w:cs="Arial"/>
                <w:color w:val="FFFFFF"/>
                <w:sz w:val="18"/>
                <w:szCs w:val="18"/>
                <w:u w:val="single"/>
                <w:lang w:eastAsia="cs-CZ"/>
              </w:rPr>
              <w:t>www.cbaonline.cz.</w:t>
            </w:r>
            <w:r w:rsidRPr="007D00CC">
              <w:rPr>
                <w:rFonts w:ascii="Arial" w:eastAsia="Times New Roman" w:hAnsi="Arial" w:cs="Arial"/>
                <w:color w:val="A9936D"/>
                <w:sz w:val="18"/>
                <w:szCs w:val="18"/>
                <w:lang w:eastAsia="cs-CZ"/>
              </w:rPr>
              <w:t xml:space="preserve"> </w:t>
            </w:r>
          </w:p>
        </w:tc>
        <w:tc>
          <w:tcPr>
            <w:tcW w:w="3384" w:type="dxa"/>
            <w:shd w:val="clear" w:color="auto" w:fill="A9936D"/>
            <w:vAlign w:val="center"/>
          </w:tcPr>
          <w:p w14:paraId="64C2F256" w14:textId="77777777" w:rsidR="00E47AD3" w:rsidRPr="007D00CC" w:rsidRDefault="00E47AD3" w:rsidP="001E07DC">
            <w:pPr>
              <w:overflowPunct w:val="0"/>
              <w:autoSpaceDE w:val="0"/>
              <w:autoSpaceDN w:val="0"/>
              <w:adjustRightInd w:val="0"/>
              <w:spacing w:before="120" w:after="120"/>
              <w:textAlignment w:val="baseline"/>
              <w:rPr>
                <w:rFonts w:ascii="Arial" w:eastAsia="Times New Roman" w:hAnsi="Arial" w:cs="Arial"/>
                <w:b/>
                <w:bCs/>
                <w:color w:val="FFFFFF"/>
                <w:sz w:val="18"/>
                <w:szCs w:val="18"/>
                <w:lang w:eastAsia="cs-CZ"/>
              </w:rPr>
            </w:pPr>
            <w:r w:rsidRPr="007D00CC">
              <w:rPr>
                <w:rFonts w:ascii="Arial" w:eastAsia="Times New Roman" w:hAnsi="Arial" w:cs="Arial"/>
                <w:b/>
                <w:bCs/>
                <w:color w:val="FFFFFF"/>
                <w:sz w:val="18"/>
                <w:szCs w:val="18"/>
                <w:lang w:eastAsia="cs-CZ"/>
              </w:rPr>
              <w:t xml:space="preserve">                Dotazy posílejte na</w:t>
            </w:r>
          </w:p>
          <w:p w14:paraId="25D7ACA1" w14:textId="77777777" w:rsidR="00E47AD3" w:rsidRPr="007D00CC" w:rsidRDefault="00E47AD3" w:rsidP="001E07DC">
            <w:pPr>
              <w:overflowPunct w:val="0"/>
              <w:autoSpaceDE w:val="0"/>
              <w:autoSpaceDN w:val="0"/>
              <w:adjustRightInd w:val="0"/>
              <w:spacing w:before="120" w:after="120"/>
              <w:jc w:val="center"/>
              <w:textAlignment w:val="baseline"/>
              <w:rPr>
                <w:rFonts w:ascii="Arial" w:eastAsia="Times New Roman" w:hAnsi="Arial" w:cs="Arial"/>
                <w:color w:val="FFFFFF"/>
                <w:sz w:val="18"/>
                <w:szCs w:val="18"/>
                <w:lang w:eastAsia="cs-CZ"/>
              </w:rPr>
            </w:pPr>
            <w:r w:rsidRPr="007D00CC">
              <w:rPr>
                <w:rFonts w:ascii="Arial" w:eastAsia="Times New Roman" w:hAnsi="Arial" w:cs="Arial"/>
                <w:b/>
                <w:bCs/>
                <w:color w:val="FFFFFF"/>
                <w:sz w:val="18"/>
                <w:szCs w:val="18"/>
                <w:lang w:eastAsia="cs-CZ"/>
              </w:rPr>
              <w:t>radek.salsa@cbaonline.cz</w:t>
            </w:r>
          </w:p>
        </w:tc>
      </w:tr>
    </w:tbl>
    <w:p w14:paraId="353B9835" w14:textId="77777777" w:rsidR="00500520" w:rsidRDefault="00500520" w:rsidP="00E47AD3">
      <w:pPr>
        <w:rPr>
          <w:b/>
          <w:bCs/>
          <w:vanish/>
        </w:rPr>
      </w:pPr>
    </w:p>
    <w:p w14:paraId="69EAC035" w14:textId="77777777" w:rsidR="00583DBE" w:rsidRDefault="00583DBE" w:rsidP="00E47AD3">
      <w:pPr>
        <w:ind w:left="360"/>
      </w:pPr>
    </w:p>
    <w:sectPr w:rsidR="00583DBE">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C27D" w14:textId="77777777" w:rsidR="00933A09" w:rsidRDefault="00933A09">
      <w:pPr>
        <w:spacing w:after="0" w:line="240" w:lineRule="auto"/>
      </w:pPr>
      <w:r>
        <w:separator/>
      </w:r>
    </w:p>
  </w:endnote>
  <w:endnote w:type="continuationSeparator" w:id="0">
    <w:p w14:paraId="02BDFF0C" w14:textId="77777777" w:rsidR="00933A09" w:rsidRDefault="0093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E9B3" w14:textId="77777777" w:rsidR="00933A09" w:rsidRDefault="00933A09">
      <w:pPr>
        <w:spacing w:after="0" w:line="240" w:lineRule="auto"/>
      </w:pPr>
      <w:r>
        <w:rPr>
          <w:color w:val="000000"/>
        </w:rPr>
        <w:separator/>
      </w:r>
    </w:p>
  </w:footnote>
  <w:footnote w:type="continuationSeparator" w:id="0">
    <w:p w14:paraId="3A28EF17" w14:textId="77777777" w:rsidR="00933A09" w:rsidRDefault="0093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5055" w14:textId="30BAE98F" w:rsidR="00E47AD3" w:rsidRDefault="00E47AD3">
    <w:pPr>
      <w:pStyle w:val="Zhlav"/>
    </w:pPr>
    <w:r>
      <w:rPr>
        <w:noProof/>
      </w:rPr>
      <w:drawing>
        <wp:anchor distT="0" distB="0" distL="114300" distR="114300" simplePos="0" relativeHeight="251659264" behindDoc="0" locked="0" layoutInCell="1" allowOverlap="1" wp14:anchorId="0D9EDDF5" wp14:editId="23F89FA6">
          <wp:simplePos x="0" y="0"/>
          <wp:positionH relativeFrom="page">
            <wp:posOffset>3810</wp:posOffset>
          </wp:positionH>
          <wp:positionV relativeFrom="paragraph">
            <wp:posOffset>-445135</wp:posOffset>
          </wp:positionV>
          <wp:extent cx="7543800" cy="1609876"/>
          <wp:effectExtent l="0" t="0" r="0" b="9525"/>
          <wp:wrapNone/>
          <wp:docPr id="1992708717" name="Obrázek 1992708717"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Písmo,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3800" cy="16098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9207B"/>
    <w:multiLevelType w:val="multilevel"/>
    <w:tmpl w:val="A79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34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BE"/>
    <w:rsid w:val="000065BE"/>
    <w:rsid w:val="0003330B"/>
    <w:rsid w:val="00044EEC"/>
    <w:rsid w:val="00075E0A"/>
    <w:rsid w:val="000928AD"/>
    <w:rsid w:val="00092E5C"/>
    <w:rsid w:val="000E1505"/>
    <w:rsid w:val="00103295"/>
    <w:rsid w:val="00112ECD"/>
    <w:rsid w:val="00116A43"/>
    <w:rsid w:val="00156822"/>
    <w:rsid w:val="00187C08"/>
    <w:rsid w:val="001B5D6E"/>
    <w:rsid w:val="001D2FF4"/>
    <w:rsid w:val="001E6170"/>
    <w:rsid w:val="001F17C3"/>
    <w:rsid w:val="00212F23"/>
    <w:rsid w:val="002329C3"/>
    <w:rsid w:val="00233837"/>
    <w:rsid w:val="00234D58"/>
    <w:rsid w:val="002A4CC5"/>
    <w:rsid w:val="002A5E0A"/>
    <w:rsid w:val="002C1594"/>
    <w:rsid w:val="002E4B5A"/>
    <w:rsid w:val="00325E52"/>
    <w:rsid w:val="0034510A"/>
    <w:rsid w:val="00351D1A"/>
    <w:rsid w:val="00366D0D"/>
    <w:rsid w:val="003A6C35"/>
    <w:rsid w:val="003D00A6"/>
    <w:rsid w:val="003F3802"/>
    <w:rsid w:val="00402151"/>
    <w:rsid w:val="00405939"/>
    <w:rsid w:val="00437965"/>
    <w:rsid w:val="004461A8"/>
    <w:rsid w:val="00471C58"/>
    <w:rsid w:val="00483D31"/>
    <w:rsid w:val="004943AC"/>
    <w:rsid w:val="004A57BF"/>
    <w:rsid w:val="004F7B6C"/>
    <w:rsid w:val="00500520"/>
    <w:rsid w:val="005144BC"/>
    <w:rsid w:val="00515D7E"/>
    <w:rsid w:val="005416F2"/>
    <w:rsid w:val="00554005"/>
    <w:rsid w:val="00554060"/>
    <w:rsid w:val="00557A7C"/>
    <w:rsid w:val="0057209F"/>
    <w:rsid w:val="00583C1D"/>
    <w:rsid w:val="00583DBE"/>
    <w:rsid w:val="005901D2"/>
    <w:rsid w:val="0059624D"/>
    <w:rsid w:val="005B50E9"/>
    <w:rsid w:val="005D25FD"/>
    <w:rsid w:val="005F52A1"/>
    <w:rsid w:val="00602B63"/>
    <w:rsid w:val="0060639D"/>
    <w:rsid w:val="006171F7"/>
    <w:rsid w:val="00652F1F"/>
    <w:rsid w:val="0066759F"/>
    <w:rsid w:val="00692927"/>
    <w:rsid w:val="006A6E47"/>
    <w:rsid w:val="006C2B7C"/>
    <w:rsid w:val="006C307C"/>
    <w:rsid w:val="007239C7"/>
    <w:rsid w:val="007317BD"/>
    <w:rsid w:val="007458C0"/>
    <w:rsid w:val="007546FC"/>
    <w:rsid w:val="0077256A"/>
    <w:rsid w:val="00773E53"/>
    <w:rsid w:val="00775CB4"/>
    <w:rsid w:val="007813BC"/>
    <w:rsid w:val="00787BAA"/>
    <w:rsid w:val="007A3BE4"/>
    <w:rsid w:val="007B735A"/>
    <w:rsid w:val="007D03DC"/>
    <w:rsid w:val="007E27BA"/>
    <w:rsid w:val="007E488A"/>
    <w:rsid w:val="007E4FBC"/>
    <w:rsid w:val="007F036A"/>
    <w:rsid w:val="008A1A0B"/>
    <w:rsid w:val="008D046F"/>
    <w:rsid w:val="008D6AB7"/>
    <w:rsid w:val="00905184"/>
    <w:rsid w:val="00925DBF"/>
    <w:rsid w:val="00930AF4"/>
    <w:rsid w:val="00933A09"/>
    <w:rsid w:val="009400A1"/>
    <w:rsid w:val="0094279A"/>
    <w:rsid w:val="00954381"/>
    <w:rsid w:val="00974158"/>
    <w:rsid w:val="009A3821"/>
    <w:rsid w:val="009A566B"/>
    <w:rsid w:val="009C102A"/>
    <w:rsid w:val="009C4BD0"/>
    <w:rsid w:val="009D5C1E"/>
    <w:rsid w:val="00A64D34"/>
    <w:rsid w:val="00A770B5"/>
    <w:rsid w:val="00A90078"/>
    <w:rsid w:val="00AD71B6"/>
    <w:rsid w:val="00AE57CD"/>
    <w:rsid w:val="00AE6931"/>
    <w:rsid w:val="00B14C41"/>
    <w:rsid w:val="00B25CEC"/>
    <w:rsid w:val="00B36951"/>
    <w:rsid w:val="00B67B9F"/>
    <w:rsid w:val="00B869B8"/>
    <w:rsid w:val="00C12AF5"/>
    <w:rsid w:val="00C240C6"/>
    <w:rsid w:val="00C2447C"/>
    <w:rsid w:val="00C44992"/>
    <w:rsid w:val="00C90A1E"/>
    <w:rsid w:val="00C9723C"/>
    <w:rsid w:val="00CC12E9"/>
    <w:rsid w:val="00CC33DD"/>
    <w:rsid w:val="00CF2BEC"/>
    <w:rsid w:val="00D05720"/>
    <w:rsid w:val="00D15D3B"/>
    <w:rsid w:val="00D15E9B"/>
    <w:rsid w:val="00D443D0"/>
    <w:rsid w:val="00D44740"/>
    <w:rsid w:val="00D47F8A"/>
    <w:rsid w:val="00D63C90"/>
    <w:rsid w:val="00D7182E"/>
    <w:rsid w:val="00D720E1"/>
    <w:rsid w:val="00D73081"/>
    <w:rsid w:val="00D73FA2"/>
    <w:rsid w:val="00D87648"/>
    <w:rsid w:val="00D91C68"/>
    <w:rsid w:val="00DA5D9A"/>
    <w:rsid w:val="00DC158D"/>
    <w:rsid w:val="00DD153E"/>
    <w:rsid w:val="00DD499E"/>
    <w:rsid w:val="00E368BD"/>
    <w:rsid w:val="00E47AD3"/>
    <w:rsid w:val="00E57E7C"/>
    <w:rsid w:val="00E9238B"/>
    <w:rsid w:val="00ED7A3E"/>
    <w:rsid w:val="00EE3006"/>
    <w:rsid w:val="00F267D7"/>
    <w:rsid w:val="00F425B6"/>
    <w:rsid w:val="00F505A1"/>
    <w:rsid w:val="00F51BE5"/>
    <w:rsid w:val="00F5333A"/>
    <w:rsid w:val="00F9392D"/>
    <w:rsid w:val="00F94FFD"/>
    <w:rsid w:val="00FD587C"/>
    <w:rsid w:val="00FD5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F035"/>
  <w15:docId w15:val="{2951F3FD-1697-44D7-B703-EAC2755F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cs-CZ"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keepLines/>
      <w:spacing w:before="360" w:after="80"/>
      <w:outlineLvl w:val="0"/>
    </w:pPr>
    <w:rPr>
      <w:rFonts w:ascii="Aptos Display" w:eastAsia="Times New Roman" w:hAnsi="Aptos Display"/>
      <w:color w:val="0F4761"/>
      <w:sz w:val="40"/>
      <w:szCs w:val="40"/>
    </w:rPr>
  </w:style>
  <w:style w:type="paragraph" w:styleId="Nadpis2">
    <w:name w:val="heading 2"/>
    <w:basedOn w:val="Normln"/>
    <w:next w:val="Normln"/>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dpis3">
    <w:name w:val="heading 3"/>
    <w:basedOn w:val="Normln"/>
    <w:next w:val="Normln"/>
    <w:uiPriority w:val="9"/>
    <w:semiHidden/>
    <w:unhideWhenUsed/>
    <w:qFormat/>
    <w:pPr>
      <w:keepNext/>
      <w:keepLines/>
      <w:spacing w:before="160" w:after="80"/>
      <w:outlineLvl w:val="2"/>
    </w:pPr>
    <w:rPr>
      <w:rFonts w:eastAsia="Times New Roman"/>
      <w:color w:val="0F4761"/>
      <w:sz w:val="28"/>
      <w:szCs w:val="28"/>
    </w:rPr>
  </w:style>
  <w:style w:type="paragraph" w:styleId="Nadpis4">
    <w:name w:val="heading 4"/>
    <w:basedOn w:val="Normln"/>
    <w:next w:val="Normln"/>
    <w:uiPriority w:val="9"/>
    <w:semiHidden/>
    <w:unhideWhenUsed/>
    <w:qFormat/>
    <w:pPr>
      <w:keepNext/>
      <w:keepLines/>
      <w:spacing w:before="80" w:after="40"/>
      <w:outlineLvl w:val="3"/>
    </w:pPr>
    <w:rPr>
      <w:rFonts w:eastAsia="Times New Roman"/>
      <w:i/>
      <w:iCs/>
      <w:color w:val="0F4761"/>
    </w:rPr>
  </w:style>
  <w:style w:type="paragraph" w:styleId="Nadpis5">
    <w:name w:val="heading 5"/>
    <w:basedOn w:val="Normln"/>
    <w:next w:val="Normln"/>
    <w:uiPriority w:val="9"/>
    <w:semiHidden/>
    <w:unhideWhenUsed/>
    <w:qFormat/>
    <w:pPr>
      <w:keepNext/>
      <w:keepLines/>
      <w:spacing w:before="80" w:after="40"/>
      <w:outlineLvl w:val="4"/>
    </w:pPr>
    <w:rPr>
      <w:rFonts w:eastAsia="Times New Roman"/>
      <w:color w:val="0F4761"/>
    </w:rPr>
  </w:style>
  <w:style w:type="paragraph" w:styleId="Nadpis6">
    <w:name w:val="heading 6"/>
    <w:basedOn w:val="Normln"/>
    <w:next w:val="Normln"/>
    <w:uiPriority w:val="9"/>
    <w:semiHidden/>
    <w:unhideWhenUsed/>
    <w:qFormat/>
    <w:pPr>
      <w:keepNext/>
      <w:keepLines/>
      <w:spacing w:before="40" w:after="0"/>
      <w:outlineLvl w:val="5"/>
    </w:pPr>
    <w:rPr>
      <w:rFonts w:eastAsia="Times New Roman"/>
      <w:i/>
      <w:iCs/>
      <w:color w:val="595959"/>
    </w:rPr>
  </w:style>
  <w:style w:type="paragraph" w:styleId="Nadpis7">
    <w:name w:val="heading 7"/>
    <w:basedOn w:val="Normln"/>
    <w:next w:val="Normln"/>
    <w:pPr>
      <w:keepNext/>
      <w:keepLines/>
      <w:spacing w:before="40" w:after="0"/>
      <w:outlineLvl w:val="6"/>
    </w:pPr>
    <w:rPr>
      <w:rFonts w:eastAsia="Times New Roman"/>
      <w:color w:val="595959"/>
    </w:rPr>
  </w:style>
  <w:style w:type="paragraph" w:styleId="Nadpis8">
    <w:name w:val="heading 8"/>
    <w:basedOn w:val="Normln"/>
    <w:next w:val="Normln"/>
    <w:pPr>
      <w:keepNext/>
      <w:keepLines/>
      <w:spacing w:after="0"/>
      <w:outlineLvl w:val="7"/>
    </w:pPr>
    <w:rPr>
      <w:rFonts w:eastAsia="Times New Roman"/>
      <w:i/>
      <w:iCs/>
      <w:color w:val="272727"/>
    </w:rPr>
  </w:style>
  <w:style w:type="paragraph" w:styleId="Nadpis9">
    <w:name w:val="heading 9"/>
    <w:basedOn w:val="Normln"/>
    <w:next w:val="Normln"/>
    <w:pPr>
      <w:keepNext/>
      <w:keepLines/>
      <w:spacing w:after="0"/>
      <w:outlineLvl w:val="8"/>
    </w:pPr>
    <w:rPr>
      <w:rFonts w:eastAsia="Times New Roman"/>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Pr>
      <w:rFonts w:ascii="Aptos Display" w:eastAsia="Times New Roman" w:hAnsi="Aptos Display" w:cs="Times New Roman"/>
      <w:color w:val="0F4761"/>
      <w:sz w:val="40"/>
      <w:szCs w:val="40"/>
    </w:rPr>
  </w:style>
  <w:style w:type="character" w:customStyle="1" w:styleId="Nadpis2Char">
    <w:name w:val="Nadpis 2 Char"/>
    <w:basedOn w:val="Standardnpsmoodstavce"/>
    <w:rPr>
      <w:rFonts w:ascii="Aptos Display" w:eastAsia="Times New Roman" w:hAnsi="Aptos Display" w:cs="Times New Roman"/>
      <w:color w:val="0F4761"/>
      <w:sz w:val="32"/>
      <w:szCs w:val="32"/>
    </w:rPr>
  </w:style>
  <w:style w:type="character" w:customStyle="1" w:styleId="Nadpis3Char">
    <w:name w:val="Nadpis 3 Char"/>
    <w:basedOn w:val="Standardnpsmoodstavce"/>
    <w:rPr>
      <w:rFonts w:eastAsia="Times New Roman" w:cs="Times New Roman"/>
      <w:color w:val="0F4761"/>
      <w:sz w:val="28"/>
      <w:szCs w:val="28"/>
    </w:rPr>
  </w:style>
  <w:style w:type="character" w:customStyle="1" w:styleId="Nadpis4Char">
    <w:name w:val="Nadpis 4 Char"/>
    <w:basedOn w:val="Standardnpsmoodstavce"/>
    <w:rPr>
      <w:rFonts w:eastAsia="Times New Roman" w:cs="Times New Roman"/>
      <w:i/>
      <w:iCs/>
      <w:color w:val="0F4761"/>
    </w:rPr>
  </w:style>
  <w:style w:type="character" w:customStyle="1" w:styleId="Nadpis5Char">
    <w:name w:val="Nadpis 5 Char"/>
    <w:basedOn w:val="Standardnpsmoodstavce"/>
    <w:rPr>
      <w:rFonts w:eastAsia="Times New Roman" w:cs="Times New Roman"/>
      <w:color w:val="0F4761"/>
    </w:rPr>
  </w:style>
  <w:style w:type="character" w:customStyle="1" w:styleId="Nadpis6Char">
    <w:name w:val="Nadpis 6 Char"/>
    <w:basedOn w:val="Standardnpsmoodstavce"/>
    <w:rPr>
      <w:rFonts w:eastAsia="Times New Roman" w:cs="Times New Roman"/>
      <w:i/>
      <w:iCs/>
      <w:color w:val="595959"/>
    </w:rPr>
  </w:style>
  <w:style w:type="character" w:customStyle="1" w:styleId="Nadpis7Char">
    <w:name w:val="Nadpis 7 Char"/>
    <w:basedOn w:val="Standardnpsmoodstavce"/>
    <w:rPr>
      <w:rFonts w:eastAsia="Times New Roman" w:cs="Times New Roman"/>
      <w:color w:val="595959"/>
    </w:rPr>
  </w:style>
  <w:style w:type="character" w:customStyle="1" w:styleId="Nadpis8Char">
    <w:name w:val="Nadpis 8 Char"/>
    <w:basedOn w:val="Standardnpsmoodstavce"/>
    <w:rPr>
      <w:rFonts w:eastAsia="Times New Roman" w:cs="Times New Roman"/>
      <w:i/>
      <w:iCs/>
      <w:color w:val="272727"/>
    </w:rPr>
  </w:style>
  <w:style w:type="character" w:customStyle="1" w:styleId="Nadpis9Char">
    <w:name w:val="Nadpis 9 Char"/>
    <w:basedOn w:val="Standardnpsmoodstavce"/>
    <w:rPr>
      <w:rFonts w:eastAsia="Times New Roman" w:cs="Times New Roman"/>
      <w:color w:val="272727"/>
    </w:rPr>
  </w:style>
  <w:style w:type="paragraph" w:styleId="Nzev">
    <w:name w:val="Title"/>
    <w:basedOn w:val="Normln"/>
    <w:next w:val="Normln"/>
    <w:uiPriority w:val="10"/>
    <w:qFormat/>
    <w:pPr>
      <w:spacing w:after="80" w:line="240" w:lineRule="auto"/>
      <w:contextualSpacing/>
    </w:pPr>
    <w:rPr>
      <w:rFonts w:ascii="Aptos Display" w:eastAsia="Times New Roman" w:hAnsi="Aptos Display"/>
      <w:spacing w:val="-10"/>
      <w:sz w:val="56"/>
      <w:szCs w:val="56"/>
    </w:rPr>
  </w:style>
  <w:style w:type="character" w:customStyle="1" w:styleId="NzevChar">
    <w:name w:val="Název Char"/>
    <w:basedOn w:val="Standardnpsmoodstavce"/>
    <w:rPr>
      <w:rFonts w:ascii="Aptos Display" w:eastAsia="Times New Roman" w:hAnsi="Aptos Display" w:cs="Times New Roman"/>
      <w:spacing w:val="-10"/>
      <w:kern w:val="3"/>
      <w:sz w:val="56"/>
      <w:szCs w:val="56"/>
    </w:rPr>
  </w:style>
  <w:style w:type="paragraph" w:styleId="Podnadpis">
    <w:name w:val="Subtitle"/>
    <w:basedOn w:val="Normln"/>
    <w:next w:val="Normln"/>
    <w:uiPriority w:val="11"/>
    <w:qFormat/>
    <w:rPr>
      <w:rFonts w:eastAsia="Times New Roman"/>
      <w:color w:val="595959"/>
      <w:spacing w:val="15"/>
      <w:sz w:val="28"/>
      <w:szCs w:val="28"/>
    </w:rPr>
  </w:style>
  <w:style w:type="character" w:customStyle="1" w:styleId="PodnadpisChar">
    <w:name w:val="Podnadpis Char"/>
    <w:basedOn w:val="Standardnpsmoodstavce"/>
    <w:rPr>
      <w:rFonts w:eastAsia="Times New Roman" w:cs="Times New Roman"/>
      <w:color w:val="595959"/>
      <w:spacing w:val="15"/>
      <w:sz w:val="28"/>
      <w:szCs w:val="28"/>
    </w:rPr>
  </w:style>
  <w:style w:type="paragraph" w:styleId="Citt">
    <w:name w:val="Quote"/>
    <w:basedOn w:val="Normln"/>
    <w:next w:val="Normln"/>
    <w:pPr>
      <w:spacing w:before="160"/>
      <w:jc w:val="center"/>
    </w:pPr>
    <w:rPr>
      <w:i/>
      <w:iCs/>
      <w:color w:val="404040"/>
    </w:rPr>
  </w:style>
  <w:style w:type="character" w:customStyle="1" w:styleId="CittChar">
    <w:name w:val="Citát Char"/>
    <w:basedOn w:val="Standardnpsmoodstavce"/>
    <w:rPr>
      <w:i/>
      <w:iCs/>
      <w:color w:val="404040"/>
    </w:rPr>
  </w:style>
  <w:style w:type="paragraph" w:styleId="Odstavecseseznamem">
    <w:name w:val="List Paragraph"/>
    <w:basedOn w:val="Normln"/>
    <w:pPr>
      <w:ind w:left="720"/>
      <w:contextualSpacing/>
    </w:pPr>
  </w:style>
  <w:style w:type="character" w:styleId="Zdraznnintenzivn">
    <w:name w:val="Intense Emphasis"/>
    <w:basedOn w:val="Standardnpsmoodstavce"/>
    <w:rPr>
      <w:i/>
      <w:iCs/>
      <w:color w:val="0F4761"/>
    </w:rPr>
  </w:style>
  <w:style w:type="paragraph" w:styleId="Vrazncitt">
    <w:name w:val="Intense Quote"/>
    <w:basedOn w:val="Normln"/>
    <w:next w:val="Normln"/>
    <w:pPr>
      <w:pBdr>
        <w:top w:val="single" w:sz="4" w:space="10" w:color="0F4761"/>
        <w:bottom w:val="single" w:sz="4" w:space="10" w:color="0F4761"/>
      </w:pBdr>
      <w:spacing w:before="360" w:after="360"/>
      <w:ind w:left="864" w:right="864"/>
      <w:jc w:val="center"/>
    </w:pPr>
    <w:rPr>
      <w:i/>
      <w:iCs/>
      <w:color w:val="0F4761"/>
    </w:rPr>
  </w:style>
  <w:style w:type="character" w:customStyle="1" w:styleId="VrazncittChar">
    <w:name w:val="Výrazný citát Char"/>
    <w:basedOn w:val="Standardnpsmoodstavce"/>
    <w:rPr>
      <w:i/>
      <w:iCs/>
      <w:color w:val="0F4761"/>
    </w:rPr>
  </w:style>
  <w:style w:type="character" w:styleId="Odkazintenzivn">
    <w:name w:val="Intense Reference"/>
    <w:basedOn w:val="Standardnpsmoodstavce"/>
    <w:rPr>
      <w:b/>
      <w:bCs/>
      <w:smallCaps/>
      <w:color w:val="0F4761"/>
      <w:spacing w:val="5"/>
    </w:rPr>
  </w:style>
  <w:style w:type="character" w:styleId="Hypertextovodkaz">
    <w:name w:val="Hyperlink"/>
    <w:basedOn w:val="Standardnpsmoodstavce"/>
    <w:rPr>
      <w:color w:val="467886"/>
      <w:u w:val="single"/>
    </w:rPr>
  </w:style>
  <w:style w:type="character" w:styleId="Nevyeenzmnka">
    <w:name w:val="Unresolved Mention"/>
    <w:basedOn w:val="Standardnpsmoodstavce"/>
    <w:rPr>
      <w:color w:val="605E5C"/>
      <w:shd w:val="clear" w:color="auto" w:fill="E1DFDD"/>
    </w:rPr>
  </w:style>
  <w:style w:type="paragraph" w:styleId="Zhlav">
    <w:name w:val="header"/>
    <w:basedOn w:val="Normln"/>
    <w:link w:val="ZhlavChar"/>
    <w:uiPriority w:val="99"/>
    <w:unhideWhenUsed/>
    <w:rsid w:val="00E47A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AD3"/>
  </w:style>
  <w:style w:type="paragraph" w:styleId="Zpat">
    <w:name w:val="footer"/>
    <w:basedOn w:val="Normln"/>
    <w:link w:val="ZpatChar"/>
    <w:uiPriority w:val="99"/>
    <w:unhideWhenUsed/>
    <w:rsid w:val="00E47AD3"/>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AD3"/>
  </w:style>
  <w:style w:type="table" w:styleId="Mkatabulky">
    <w:name w:val="Table Grid"/>
    <w:basedOn w:val="Normlntabulka"/>
    <w:uiPriority w:val="39"/>
    <w:rsid w:val="00E47AD3"/>
    <w:pPr>
      <w:autoSpaceDN/>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E47AD3"/>
    <w:pPr>
      <w:autoSpaceDN/>
      <w:spacing w:after="0" w:line="240" w:lineRule="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56822"/>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1005">
      <w:bodyDiv w:val="1"/>
      <w:marLeft w:val="0"/>
      <w:marRight w:val="0"/>
      <w:marTop w:val="0"/>
      <w:marBottom w:val="0"/>
      <w:divBdr>
        <w:top w:val="none" w:sz="0" w:space="0" w:color="auto"/>
        <w:left w:val="none" w:sz="0" w:space="0" w:color="auto"/>
        <w:bottom w:val="none" w:sz="0" w:space="0" w:color="auto"/>
        <w:right w:val="none" w:sz="0" w:space="0" w:color="auto"/>
      </w:divBdr>
    </w:div>
    <w:div w:id="1652127202">
      <w:bodyDiv w:val="1"/>
      <w:marLeft w:val="0"/>
      <w:marRight w:val="0"/>
      <w:marTop w:val="0"/>
      <w:marBottom w:val="0"/>
      <w:divBdr>
        <w:top w:val="none" w:sz="0" w:space="0" w:color="auto"/>
        <w:left w:val="none" w:sz="0" w:space="0" w:color="auto"/>
        <w:bottom w:val="none" w:sz="0" w:space="0" w:color="auto"/>
        <w:right w:val="none" w:sz="0" w:space="0" w:color="auto"/>
      </w:divBdr>
    </w:div>
    <w:div w:id="2127693961">
      <w:bodyDiv w:val="1"/>
      <w:marLeft w:val="0"/>
      <w:marRight w:val="0"/>
      <w:marTop w:val="0"/>
      <w:marBottom w:val="0"/>
      <w:divBdr>
        <w:top w:val="none" w:sz="0" w:space="0" w:color="auto"/>
        <w:left w:val="none" w:sz="0" w:space="0" w:color="auto"/>
        <w:bottom w:val="none" w:sz="0" w:space="0" w:color="auto"/>
        <w:right w:val="none" w:sz="0" w:space="0" w:color="auto"/>
      </w:divBdr>
    </w:div>
    <w:div w:id="2137139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782</Words>
  <Characters>4618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Hildová, Zdeňka (ČBA)</dc:creator>
  <dc:description/>
  <cp:lastModifiedBy>Možná, Radana (ČBA)</cp:lastModifiedBy>
  <cp:revision>2</cp:revision>
  <cp:lastPrinted>2026-05-29T08:23:00Z</cp:lastPrinted>
  <dcterms:created xsi:type="dcterms:W3CDTF">2026-05-29T09:20:00Z</dcterms:created>
  <dcterms:modified xsi:type="dcterms:W3CDTF">2026-05-29T09:20:00Z</dcterms:modified>
</cp:coreProperties>
</file>